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47799" w14:textId="423F7D8E" w:rsidR="00CB32D6" w:rsidRPr="00483CB5" w:rsidRDefault="00483CB5" w:rsidP="00483CB5">
      <w:pPr>
        <w:pStyle w:val="a9"/>
        <w:tabs>
          <w:tab w:val="left" w:pos="284"/>
        </w:tabs>
        <w:jc w:val="center"/>
        <w:rPr>
          <w:rFonts w:ascii="ＭＳ ゴシック" w:eastAsia="ＭＳ ゴシック" w:hAnsi="ＭＳ ゴシック"/>
          <w:sz w:val="28"/>
          <w:szCs w:val="28"/>
          <w:lang w:eastAsia="ja-JP"/>
        </w:rPr>
      </w:pPr>
      <w:r w:rsidRPr="00483CB5">
        <w:rPr>
          <w:rFonts w:ascii="ＭＳ ゴシック" w:eastAsia="ＭＳ ゴシック" w:hAnsi="ＭＳ ゴシック" w:hint="eastAsia"/>
          <w:sz w:val="28"/>
          <w:szCs w:val="28"/>
          <w:lang w:eastAsia="ja-JP"/>
        </w:rPr>
        <w:t>基準１</w:t>
      </w:r>
      <w:r w:rsidR="00FE2D78">
        <w:rPr>
          <w:rFonts w:ascii="ＭＳ ゴシック" w:eastAsia="ＭＳ ゴシック" w:hAnsi="ＭＳ ゴシック" w:hint="eastAsia"/>
          <w:sz w:val="28"/>
          <w:szCs w:val="28"/>
          <w:lang w:eastAsia="ja-JP"/>
        </w:rPr>
        <w:t>０</w:t>
      </w:r>
    </w:p>
    <w:p w14:paraId="5B01DAA9" w14:textId="1FE0E7BD" w:rsidR="00483CB5" w:rsidRDefault="002C75EF" w:rsidP="002C75EF">
      <w:pPr>
        <w:pStyle w:val="a9"/>
        <w:tabs>
          <w:tab w:val="left" w:pos="284"/>
        </w:tabs>
        <w:jc w:val="right"/>
        <w:rPr>
          <w:lang w:eastAsia="ja-JP"/>
        </w:rPr>
      </w:pPr>
      <w:r>
        <w:rPr>
          <w:rFonts w:hint="eastAsia"/>
          <w:lang w:eastAsia="ja-JP"/>
        </w:rPr>
        <w:t>2</w:t>
      </w:r>
      <w:r>
        <w:rPr>
          <w:lang w:eastAsia="ja-JP"/>
        </w:rPr>
        <w:t>023/</w:t>
      </w:r>
      <w:r w:rsidR="00275165">
        <w:rPr>
          <w:lang w:eastAsia="ja-JP"/>
        </w:rPr>
        <w:t>1</w:t>
      </w:r>
      <w:r>
        <w:rPr>
          <w:lang w:eastAsia="ja-JP"/>
        </w:rPr>
        <w:t>2/</w:t>
      </w:r>
      <w:r w:rsidR="00275165">
        <w:rPr>
          <w:lang w:eastAsia="ja-JP"/>
        </w:rPr>
        <w:t>24</w:t>
      </w:r>
      <w:r w:rsidR="00180A4F">
        <w:rPr>
          <w:rFonts w:hint="eastAsia"/>
          <w:lang w:eastAsia="ja-JP"/>
        </w:rPr>
        <w:t>作成</w:t>
      </w:r>
    </w:p>
    <w:p w14:paraId="42659FC2" w14:textId="77777777" w:rsidR="0000023F" w:rsidRDefault="0000023F" w:rsidP="0000023F"/>
    <w:tbl>
      <w:tblPr>
        <w:tblStyle w:val="ab"/>
        <w:tblW w:w="0" w:type="auto"/>
        <w:tblLook w:val="04A0" w:firstRow="1" w:lastRow="0" w:firstColumn="1" w:lastColumn="0" w:noHBand="0" w:noVBand="1"/>
      </w:tblPr>
      <w:tblGrid>
        <w:gridCol w:w="9040"/>
      </w:tblGrid>
      <w:tr w:rsidR="00FE2D78" w14:paraId="3302F020" w14:textId="77777777" w:rsidTr="009F2125">
        <w:tc>
          <w:tcPr>
            <w:tcW w:w="9060" w:type="dxa"/>
            <w:tcBorders>
              <w:top w:val="single" w:sz="12" w:space="0" w:color="auto"/>
              <w:left w:val="single" w:sz="12" w:space="0" w:color="auto"/>
              <w:bottom w:val="single" w:sz="12" w:space="0" w:color="auto"/>
              <w:right w:val="single" w:sz="12" w:space="0" w:color="auto"/>
            </w:tcBorders>
          </w:tcPr>
          <w:p w14:paraId="47EBC031" w14:textId="77777777" w:rsidR="00FE2D78" w:rsidRPr="00A9599D" w:rsidRDefault="00FE2D78" w:rsidP="009F2125">
            <w:pPr>
              <w:rPr>
                <w:rFonts w:ascii="ＭＳ ゴシック" w:eastAsia="ＭＳ ゴシック" w:hAnsi="ＭＳ ゴシック"/>
                <w:b/>
                <w:bCs/>
                <w:u w:val="thick"/>
              </w:rPr>
            </w:pPr>
            <w:r w:rsidRPr="00A9599D">
              <w:rPr>
                <w:rFonts w:ascii="ＭＳ ゴシック" w:eastAsia="ＭＳ ゴシック" w:hAnsi="ＭＳ ゴシック" w:hint="eastAsia"/>
                <w:b/>
                <w:bCs/>
                <w:u w:val="thick"/>
              </w:rPr>
              <w:t>１０　特定分野に強みや専門性を持つ学科等に係る特例</w:t>
            </w:r>
          </w:p>
          <w:p w14:paraId="3A38E055" w14:textId="77777777" w:rsidR="00FE2D78" w:rsidRPr="00526005" w:rsidRDefault="00FE2D78" w:rsidP="009F2125">
            <w:pPr>
              <w:ind w:firstLineChars="100" w:firstLine="210"/>
            </w:pPr>
            <w:r w:rsidRPr="00A9599D">
              <w:rPr>
                <w:rFonts w:hint="eastAsia"/>
              </w:rPr>
              <w:t>２（４）にかかわらず、四年制大学の学科等において、特定の分野に関する強みや専門性を修得させるための活動等と免許状の教職課程の修得の両立を目的とした教育課程であることが認められる場合、二種免許状の教職課程の認定を受けることができる。なお、この場合の幼稚園教諭又は小学校教諭の教職課程については、２（５）及び（６）は適用しない。</w:t>
            </w:r>
          </w:p>
        </w:tc>
      </w:tr>
    </w:tbl>
    <w:p w14:paraId="6D0ACEAB" w14:textId="77777777" w:rsidR="00FE2D78" w:rsidRPr="00D36DBF" w:rsidRDefault="00FE2D78" w:rsidP="00FE2D78">
      <w:pPr>
        <w:rPr>
          <w:rFonts w:hint="eastAsia"/>
        </w:rPr>
      </w:pPr>
    </w:p>
    <w:p w14:paraId="52A7702E" w14:textId="47C07F95" w:rsidR="00FE2D78" w:rsidRDefault="00FE2D78" w:rsidP="00FE2D78">
      <w:r>
        <w:rPr>
          <w:rFonts w:hint="eastAsia"/>
        </w:rPr>
        <w:t>▼</w:t>
      </w:r>
      <w:hyperlink r:id="rId6" w:history="1">
        <w:r w:rsidRPr="00A246E8">
          <w:rPr>
            <w:rStyle w:val="a7"/>
            <w:rFonts w:hint="eastAsia"/>
          </w:rPr>
          <w:t>令和</w:t>
        </w:r>
        <w:r w:rsidRPr="00A246E8">
          <w:rPr>
            <w:rStyle w:val="a7"/>
            <w:rFonts w:hint="eastAsia"/>
          </w:rPr>
          <w:t>5</w:t>
        </w:r>
        <w:r w:rsidRPr="00A246E8">
          <w:rPr>
            <w:rStyle w:val="a7"/>
            <w:rFonts w:hint="eastAsia"/>
          </w:rPr>
          <w:t>年</w:t>
        </w:r>
        <w:r w:rsidRPr="00A246E8">
          <w:rPr>
            <w:rStyle w:val="a7"/>
            <w:rFonts w:hint="eastAsia"/>
          </w:rPr>
          <w:t>9</w:t>
        </w:r>
        <w:r w:rsidRPr="00A246E8">
          <w:rPr>
            <w:rStyle w:val="a7"/>
            <w:rFonts w:hint="eastAsia"/>
          </w:rPr>
          <w:t>月</w:t>
        </w:r>
        <w:r w:rsidRPr="00A246E8">
          <w:rPr>
            <w:rStyle w:val="a7"/>
            <w:rFonts w:hint="eastAsia"/>
          </w:rPr>
          <w:t>2</w:t>
        </w:r>
        <w:r w:rsidRPr="00A246E8">
          <w:rPr>
            <w:rStyle w:val="a7"/>
          </w:rPr>
          <w:t>8</w:t>
        </w:r>
        <w:r w:rsidRPr="00A246E8">
          <w:rPr>
            <w:rStyle w:val="a7"/>
            <w:rFonts w:hint="eastAsia"/>
          </w:rPr>
          <w:t>日事務連絡</w:t>
        </w:r>
      </w:hyperlink>
    </w:p>
    <w:tbl>
      <w:tblPr>
        <w:tblStyle w:val="ab"/>
        <w:tblW w:w="0" w:type="auto"/>
        <w:tblInd w:w="137" w:type="dxa"/>
        <w:tblLook w:val="04A0" w:firstRow="1" w:lastRow="0" w:firstColumn="1" w:lastColumn="0" w:noHBand="0" w:noVBand="1"/>
      </w:tblPr>
      <w:tblGrid>
        <w:gridCol w:w="8923"/>
      </w:tblGrid>
      <w:tr w:rsidR="00FE2D78" w14:paraId="2B510CED" w14:textId="77777777" w:rsidTr="009F2125">
        <w:tc>
          <w:tcPr>
            <w:tcW w:w="8923" w:type="dxa"/>
          </w:tcPr>
          <w:p w14:paraId="7C876A80" w14:textId="77777777" w:rsidR="00FE2D78" w:rsidRDefault="00FE2D78" w:rsidP="009F2125">
            <w:r>
              <w:rPr>
                <w:rFonts w:hint="eastAsia"/>
              </w:rPr>
              <w:t>１．改正の要点</w:t>
            </w:r>
          </w:p>
          <w:p w14:paraId="720DAFE0" w14:textId="77777777" w:rsidR="00FE2D78" w:rsidRDefault="00FE2D78" w:rsidP="009F2125">
            <w:r>
              <w:rPr>
                <w:rFonts w:hint="eastAsia"/>
              </w:rPr>
              <w:t>（１）</w:t>
            </w:r>
            <w:r>
              <w:t>特定分野に強みや専門性を持つ学科等に係る特例に係る改正</w:t>
            </w:r>
          </w:p>
          <w:p w14:paraId="12211C7D" w14:textId="77777777" w:rsidR="00FE2D78" w:rsidRDefault="00FE2D78" w:rsidP="009F2125">
            <w:pPr>
              <w:ind w:leftChars="148" w:left="311" w:firstLineChars="100" w:firstLine="210"/>
            </w:pPr>
            <w:r>
              <w:t>中教審答申を踏まえ、学生の強みや専門性を身に付ける活動と教職課程の履修の両立を目的とした教員養成が可能となるよう、４年制大学において、二種免許状の教職課程の認定を受けることができる特例を設ける。</w:t>
            </w:r>
          </w:p>
          <w:p w14:paraId="1B4EA17B" w14:textId="77777777" w:rsidR="00FE2D78" w:rsidRDefault="00FE2D78" w:rsidP="009F2125"/>
          <w:p w14:paraId="3295BCC2" w14:textId="77777777" w:rsidR="00FE2D78" w:rsidRDefault="00FE2D78" w:rsidP="009F2125">
            <w:r>
              <w:rPr>
                <w:rFonts w:hint="eastAsia"/>
              </w:rPr>
              <w:t>３．留意事項等</w:t>
            </w:r>
          </w:p>
          <w:p w14:paraId="3577267C" w14:textId="77777777" w:rsidR="00FE2D78" w:rsidRDefault="00FE2D78" w:rsidP="009F2125">
            <w:r>
              <w:t>（１）特定分野に強みや専門性を持つ学科等に係る特例について</w:t>
            </w:r>
          </w:p>
          <w:p w14:paraId="370C2BE1" w14:textId="77777777" w:rsidR="00FE2D78" w:rsidRDefault="00FE2D78" w:rsidP="009F2125">
            <w:pPr>
              <w:ind w:leftChars="217" w:left="595" w:hangingChars="66" w:hanging="139"/>
            </w:pPr>
            <w:r>
              <w:rPr>
                <w:rFonts w:ascii="ＭＳ 明朝" w:hAnsi="ＭＳ 明朝" w:cs="ＭＳ 明朝" w:hint="eastAsia"/>
              </w:rPr>
              <w:t>①</w:t>
            </w:r>
            <w:r>
              <w:rPr>
                <w:rFonts w:cs="ＭＳ 明朝" w:hint="eastAsia"/>
              </w:rPr>
              <w:t xml:space="preserve">　</w:t>
            </w:r>
            <w:r>
              <w:t>特定分野に強みや専門性を持つ学科等に係る特例（以下「強み専門性特例」という。）を活用し認定を受けることで、今後四年制大学においても二種免許状の教職課程の開設が可能となるが、強み専門性特例の趣旨は、資格取得や留学等の強みや専門性に係る活動等と一種免許状の取得の両立が困難である状況等を鑑みて、免許状取得との両立を目的とするための特例であるため、同一免許状の一種免許状の教職課程との併設を想定するものではないこと。</w:t>
            </w:r>
          </w:p>
          <w:p w14:paraId="68FC1F7E" w14:textId="77777777" w:rsidR="00FE2D78" w:rsidRDefault="00FE2D78" w:rsidP="009F2125">
            <w:pPr>
              <w:ind w:leftChars="217" w:left="595" w:hangingChars="66" w:hanging="139"/>
            </w:pPr>
            <w:r>
              <w:rPr>
                <w:rFonts w:ascii="ＭＳ 明朝" w:hAnsi="ＭＳ 明朝" w:cs="ＭＳ 明朝" w:hint="eastAsia"/>
              </w:rPr>
              <w:t>②</w:t>
            </w:r>
            <w:r>
              <w:rPr>
                <w:rFonts w:cs="ＭＳ 明朝" w:hint="eastAsia"/>
              </w:rPr>
              <w:t xml:space="preserve">　</w:t>
            </w:r>
            <w:r>
              <w:t>強み専門性特例の認定を受けようとする大学においては、別添の審査の観点を十分確認の上、申請を行うこと。なお、申請に当たっての様式等については、今後の説明会や手引き等において示す予定であること。</w:t>
            </w:r>
          </w:p>
        </w:tc>
      </w:tr>
    </w:tbl>
    <w:p w14:paraId="5F69A601" w14:textId="77777777" w:rsidR="00FE2D78" w:rsidRDefault="00FE2D78" w:rsidP="00FE2D78"/>
    <w:p w14:paraId="73126042" w14:textId="77777777" w:rsidR="00FE2D78" w:rsidRDefault="00FE2D78" w:rsidP="00FE2D78">
      <w:r>
        <w:rPr>
          <w:rFonts w:hint="eastAsia"/>
        </w:rPr>
        <w:t>▼</w:t>
      </w:r>
      <w:r w:rsidRPr="000A1FC0">
        <w:rPr>
          <w:rFonts w:hint="eastAsia"/>
        </w:rPr>
        <w:t>特定分野に強みや専門性を持つ学科等に係る特例に関する審査の観点（課程認定委員会決定）</w:t>
      </w:r>
    </w:p>
    <w:tbl>
      <w:tblPr>
        <w:tblStyle w:val="ab"/>
        <w:tblW w:w="0" w:type="auto"/>
        <w:tblInd w:w="137" w:type="dxa"/>
        <w:tblLook w:val="04A0" w:firstRow="1" w:lastRow="0" w:firstColumn="1" w:lastColumn="0" w:noHBand="0" w:noVBand="1"/>
      </w:tblPr>
      <w:tblGrid>
        <w:gridCol w:w="8923"/>
      </w:tblGrid>
      <w:tr w:rsidR="00FE2D78" w14:paraId="2563CC57" w14:textId="77777777" w:rsidTr="009F2125">
        <w:tc>
          <w:tcPr>
            <w:tcW w:w="8923" w:type="dxa"/>
          </w:tcPr>
          <w:p w14:paraId="2303B366" w14:textId="77777777" w:rsidR="00FE2D78" w:rsidRDefault="00FE2D78" w:rsidP="009F2125">
            <w:pPr>
              <w:ind w:firstLineChars="100" w:firstLine="210"/>
            </w:pPr>
            <w:r>
              <w:t>教職課程認定基準（平成１３年７月１９日教員養成部会決定）</w:t>
            </w:r>
            <w:r>
              <w:rPr>
                <w:rFonts w:hint="eastAsia"/>
              </w:rPr>
              <w:t>１０</w:t>
            </w:r>
            <w:r>
              <w:t>に規定する、特定の分野に強みや専門性を有する四年制大学の学科等が、二種免許状の教職課程を置く場合の審査に当たっては、以下の観点から審査を行うこととする。</w:t>
            </w:r>
          </w:p>
          <w:p w14:paraId="6006076D" w14:textId="77777777" w:rsidR="00FE2D78" w:rsidRDefault="00FE2D78" w:rsidP="009F2125"/>
          <w:p w14:paraId="6257C35A" w14:textId="77777777" w:rsidR="00FE2D78" w:rsidRPr="00C95D3E" w:rsidRDefault="00FE2D78" w:rsidP="009F2125">
            <w:pPr>
              <w:rPr>
                <w:rFonts w:ascii="ＭＳ ゴシック" w:eastAsia="ＭＳ ゴシック" w:hAnsi="ＭＳ ゴシック"/>
                <w:b/>
                <w:bCs/>
                <w:u w:val="single"/>
              </w:rPr>
            </w:pPr>
            <w:r w:rsidRPr="00C95D3E">
              <w:rPr>
                <w:rFonts w:ascii="ＭＳ ゴシック" w:eastAsia="ＭＳ ゴシック" w:hAnsi="ＭＳ ゴシック"/>
                <w:b/>
                <w:bCs/>
                <w:u w:val="single"/>
              </w:rPr>
              <w:t>１．当該学科等において身に付ける強みや専門性に係る活動等が顕著であるか</w:t>
            </w:r>
          </w:p>
          <w:p w14:paraId="5BEE3CF8" w14:textId="77777777" w:rsidR="00FE2D78" w:rsidRDefault="00FE2D78" w:rsidP="009F2125">
            <w:pPr>
              <w:ind w:leftChars="148" w:left="311" w:firstLineChars="100" w:firstLine="210"/>
            </w:pPr>
            <w:r>
              <w:t>身に付ける強みや専門性に係る活動等とは、一種免許状の教職課程を履修することとの両立が困難であると想定される程度のものを指す。</w:t>
            </w:r>
          </w:p>
          <w:p w14:paraId="5DA5D7CC" w14:textId="77777777" w:rsidR="00FE2D78" w:rsidRDefault="00FE2D78" w:rsidP="009F2125">
            <w:pPr>
              <w:ind w:leftChars="148" w:left="311" w:firstLineChars="100" w:firstLine="210"/>
            </w:pPr>
            <w:r>
              <w:t>また、当該強みや専門性が、認定を受けようとする二種免許状を取得しようとする者に</w:t>
            </w:r>
            <w:r>
              <w:lastRenderedPageBreak/>
              <w:t>対し、相乗効果を生み出すことが十分に期待できるものであり、単に既存の教職課程の授業科目を深化・発展させることを目指すものは該当しない。</w:t>
            </w:r>
          </w:p>
          <w:p w14:paraId="3E54A7EB" w14:textId="77777777" w:rsidR="00FE2D78" w:rsidRDefault="00FE2D78" w:rsidP="009F2125">
            <w:pPr>
              <w:ind w:leftChars="148" w:left="311" w:firstLineChars="100" w:firstLine="210"/>
            </w:pPr>
            <w:r>
              <w:t>例えば、データ活用、</w:t>
            </w:r>
            <w:r>
              <w:t>STEAM</w:t>
            </w:r>
            <w:r>
              <w:t>教育、障害児発達支援、日本語指導、心理、福祉、社会教育、語学力、グローバル感覚等に関連する資格要件を踏まえた教育課程・教育プログラム等の履修、その他の一定程度の活動等が挙げられる。なお、これに限るものではない。</w:t>
            </w:r>
          </w:p>
          <w:p w14:paraId="50BAB10C" w14:textId="77777777" w:rsidR="00FE2D78" w:rsidRDefault="00FE2D78" w:rsidP="009F2125"/>
          <w:p w14:paraId="2526E88F" w14:textId="77777777" w:rsidR="00FE2D78" w:rsidRPr="00C95D3E" w:rsidRDefault="00FE2D78" w:rsidP="009F2125">
            <w:pPr>
              <w:ind w:leftChars="14" w:left="170" w:hangingChars="67" w:hanging="141"/>
              <w:rPr>
                <w:rFonts w:ascii="ＭＳ ゴシック" w:eastAsia="ＭＳ ゴシック" w:hAnsi="ＭＳ ゴシック"/>
                <w:b/>
                <w:bCs/>
                <w:u w:val="single"/>
              </w:rPr>
            </w:pPr>
            <w:r w:rsidRPr="00C95D3E">
              <w:rPr>
                <w:rFonts w:ascii="ＭＳ ゴシック" w:eastAsia="ＭＳ ゴシック" w:hAnsi="ＭＳ ゴシック"/>
                <w:b/>
                <w:bCs/>
                <w:u w:val="single"/>
              </w:rPr>
              <w:t>２．当該学科等で身に付けることができる強みや専門性と認定を受けようとする免許状の種類が、地域や学校現場のニーズ等に応じたものであるか</w:t>
            </w:r>
          </w:p>
          <w:p w14:paraId="60B48F90" w14:textId="77777777" w:rsidR="00FE2D78" w:rsidRDefault="00FE2D78" w:rsidP="009F2125">
            <w:pPr>
              <w:ind w:leftChars="148" w:left="311" w:firstLineChars="100" w:firstLine="210"/>
            </w:pPr>
            <w:r>
              <w:t>教育委員会等からの要望、地域や学校における課題等を踏まえた教員養成を行うことが期待できるものであるか。</w:t>
            </w:r>
          </w:p>
          <w:p w14:paraId="09F46A72" w14:textId="77777777" w:rsidR="00FE2D78" w:rsidRDefault="00FE2D78" w:rsidP="009F2125"/>
          <w:p w14:paraId="00A456CF" w14:textId="77777777" w:rsidR="00FE2D78" w:rsidRPr="00C95D3E" w:rsidRDefault="00FE2D78" w:rsidP="009F2125">
            <w:pPr>
              <w:ind w:leftChars="1" w:left="171" w:hangingChars="80" w:hanging="169"/>
              <w:rPr>
                <w:rFonts w:ascii="ＭＳ ゴシック" w:eastAsia="ＭＳ ゴシック" w:hAnsi="ＭＳ ゴシック"/>
                <w:b/>
                <w:bCs/>
                <w:u w:val="single"/>
              </w:rPr>
            </w:pPr>
            <w:r w:rsidRPr="00C95D3E">
              <w:rPr>
                <w:rFonts w:ascii="ＭＳ ゴシック" w:eastAsia="ＭＳ ゴシック" w:hAnsi="ＭＳ ゴシック"/>
                <w:b/>
                <w:bCs/>
                <w:u w:val="single"/>
              </w:rPr>
              <w:t>３．身に付ける強みや専門性に係る活動等と二種免許状の教職課程の両立を目的とした教育課程等であるか</w:t>
            </w:r>
          </w:p>
          <w:p w14:paraId="3BA2E9F0" w14:textId="77777777" w:rsidR="00FE2D78" w:rsidRDefault="00FE2D78" w:rsidP="009F2125">
            <w:pPr>
              <w:ind w:leftChars="148" w:left="311" w:firstLineChars="100" w:firstLine="210"/>
            </w:pPr>
            <w:r>
              <w:t>免許状を取得しようとする者が、当該学科等において強みや専門性を身に付ける活動等を十分に行いながら二種免許状を取得する際に無理のない教育課程が設定されているか。また、科目開設上の工夫や、履修指導の体制が十分に整備されているか。</w:t>
            </w:r>
          </w:p>
          <w:p w14:paraId="73F57281" w14:textId="77777777" w:rsidR="00FE2D78" w:rsidRDefault="00FE2D78" w:rsidP="009F2125"/>
          <w:p w14:paraId="2A36ADC2" w14:textId="77777777" w:rsidR="00FE2D78" w:rsidRPr="00C95D3E" w:rsidRDefault="00FE2D78" w:rsidP="009F2125">
            <w:pPr>
              <w:ind w:leftChars="1" w:left="171" w:hangingChars="80" w:hanging="169"/>
              <w:rPr>
                <w:rFonts w:ascii="ＭＳ ゴシック" w:eastAsia="ＭＳ ゴシック" w:hAnsi="ＭＳ ゴシック"/>
                <w:b/>
                <w:bCs/>
                <w:u w:val="single"/>
              </w:rPr>
            </w:pPr>
            <w:r w:rsidRPr="00C95D3E">
              <w:rPr>
                <w:rFonts w:ascii="ＭＳ ゴシック" w:eastAsia="ＭＳ ゴシック" w:hAnsi="ＭＳ ゴシック"/>
                <w:b/>
                <w:bCs/>
                <w:u w:val="single"/>
              </w:rPr>
              <w:t>４．当該学科等の学位プログラムと当該学科等で身に付ける強みや専門性と の関係が認められるか</w:t>
            </w:r>
          </w:p>
          <w:p w14:paraId="0EB4BEBA" w14:textId="77777777" w:rsidR="00FE2D78" w:rsidRDefault="00FE2D78" w:rsidP="009F2125">
            <w:pPr>
              <w:ind w:leftChars="148" w:left="311" w:firstLineChars="100" w:firstLine="210"/>
            </w:pPr>
            <w:r>
              <w:t>身に付ける強みや専門性に係る活動等は、当該学科等の学位プログラムを基礎として設定されたものであるか。当該学科等の目的・性格を歪めるものとなっていないか。</w:t>
            </w:r>
          </w:p>
          <w:p w14:paraId="4705917A" w14:textId="77777777" w:rsidR="00FE2D78" w:rsidRDefault="00FE2D78" w:rsidP="009F2125"/>
          <w:p w14:paraId="3BAAE018" w14:textId="77777777" w:rsidR="00FE2D78" w:rsidRPr="00C95D3E" w:rsidRDefault="00FE2D78" w:rsidP="009F2125">
            <w:pPr>
              <w:rPr>
                <w:rFonts w:ascii="ＭＳ ゴシック" w:eastAsia="ＭＳ ゴシック" w:hAnsi="ＭＳ ゴシック"/>
                <w:b/>
                <w:bCs/>
                <w:u w:val="single"/>
              </w:rPr>
            </w:pPr>
            <w:r w:rsidRPr="00C95D3E">
              <w:rPr>
                <w:rFonts w:ascii="ＭＳ ゴシック" w:eastAsia="ＭＳ ゴシック" w:hAnsi="ＭＳ ゴシック"/>
                <w:b/>
                <w:bCs/>
                <w:u w:val="single"/>
              </w:rPr>
              <w:t>５．二種免許状の課程認定基準等を満たしているものとなっているか</w:t>
            </w:r>
          </w:p>
        </w:tc>
      </w:tr>
    </w:tbl>
    <w:p w14:paraId="00A2F45C" w14:textId="77777777" w:rsidR="00FE2D78" w:rsidRDefault="00FE2D78" w:rsidP="00FE2D78"/>
    <w:p w14:paraId="73E6704C" w14:textId="6E003B7A" w:rsidR="0000023F" w:rsidRPr="00FE2D78" w:rsidRDefault="0000023F" w:rsidP="0000023F">
      <w:pPr>
        <w:widowControl/>
        <w:jc w:val="left"/>
        <w:rPr>
          <w:rFonts w:hint="eastAsia"/>
        </w:rPr>
      </w:pPr>
    </w:p>
    <w:p w14:paraId="6857C4B2" w14:textId="1930F23F" w:rsidR="00075211" w:rsidRPr="0000023F" w:rsidRDefault="00075211" w:rsidP="00C5088A"/>
    <w:sectPr w:rsidR="00075211" w:rsidRPr="0000023F" w:rsidSect="00CB32D6">
      <w:footerReference w:type="default" r:id="rId7"/>
      <w:pgSz w:w="11906" w:h="16838" w:code="9"/>
      <w:pgMar w:top="1418" w:right="1418" w:bottom="1418" w:left="1418"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B79B7" w14:textId="77777777" w:rsidR="00047189" w:rsidRDefault="00047189" w:rsidP="005959D0">
      <w:r>
        <w:separator/>
      </w:r>
    </w:p>
  </w:endnote>
  <w:endnote w:type="continuationSeparator" w:id="0">
    <w:p w14:paraId="0776F533" w14:textId="77777777" w:rsidR="00047189" w:rsidRDefault="00047189" w:rsidP="00595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2638151"/>
      <w:docPartObj>
        <w:docPartGallery w:val="Page Numbers (Bottom of Page)"/>
        <w:docPartUnique/>
      </w:docPartObj>
    </w:sdtPr>
    <w:sdtContent>
      <w:p w14:paraId="1B0B9B21" w14:textId="593B1114" w:rsidR="003A65B4" w:rsidRPr="00A258B5" w:rsidRDefault="00A258B5" w:rsidP="00A258B5">
        <w:pPr>
          <w:pStyle w:val="a5"/>
          <w:jc w:val="center"/>
        </w:pPr>
        <w:r>
          <w:rPr>
            <w:rFonts w:hint="eastAsia"/>
          </w:rPr>
          <w:t>―</w:t>
        </w:r>
        <w:r>
          <w:t xml:space="preserve"> </w:t>
        </w:r>
        <w:r>
          <w:fldChar w:fldCharType="begin"/>
        </w:r>
        <w:r>
          <w:instrText>PAGE   \* MERGEFORMAT</w:instrText>
        </w:r>
        <w:r>
          <w:fldChar w:fldCharType="separate"/>
        </w:r>
        <w:r>
          <w:rPr>
            <w:lang w:val="ja-JP"/>
          </w:rPr>
          <w:t>2</w:t>
        </w:r>
        <w:r>
          <w:fldChar w:fldCharType="end"/>
        </w:r>
        <w:r>
          <w:t xml:space="preserve"> </w:t>
        </w:r>
        <w:r>
          <w:rPr>
            <w:rFonts w:hint="eastAsia"/>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13801" w14:textId="77777777" w:rsidR="00047189" w:rsidRDefault="00047189" w:rsidP="005959D0">
      <w:r>
        <w:separator/>
      </w:r>
    </w:p>
  </w:footnote>
  <w:footnote w:type="continuationSeparator" w:id="0">
    <w:p w14:paraId="4B11EEE0" w14:textId="77777777" w:rsidR="00047189" w:rsidRDefault="00047189" w:rsidP="005959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F8E"/>
    <w:rsid w:val="0000023F"/>
    <w:rsid w:val="000136AA"/>
    <w:rsid w:val="00047189"/>
    <w:rsid w:val="00075211"/>
    <w:rsid w:val="00180A4F"/>
    <w:rsid w:val="00184B72"/>
    <w:rsid w:val="00254086"/>
    <w:rsid w:val="00275165"/>
    <w:rsid w:val="002825EE"/>
    <w:rsid w:val="002C75EF"/>
    <w:rsid w:val="00346251"/>
    <w:rsid w:val="00377137"/>
    <w:rsid w:val="003A21EF"/>
    <w:rsid w:val="003A65B4"/>
    <w:rsid w:val="00413625"/>
    <w:rsid w:val="004701A7"/>
    <w:rsid w:val="00483CB5"/>
    <w:rsid w:val="005255DB"/>
    <w:rsid w:val="005959D0"/>
    <w:rsid w:val="006541A1"/>
    <w:rsid w:val="006A1194"/>
    <w:rsid w:val="0073045C"/>
    <w:rsid w:val="00864FB0"/>
    <w:rsid w:val="00890926"/>
    <w:rsid w:val="00946573"/>
    <w:rsid w:val="00A246E8"/>
    <w:rsid w:val="00A258B5"/>
    <w:rsid w:val="00A81A13"/>
    <w:rsid w:val="00AF4411"/>
    <w:rsid w:val="00BD48A3"/>
    <w:rsid w:val="00BD6BAC"/>
    <w:rsid w:val="00C010C7"/>
    <w:rsid w:val="00C5088A"/>
    <w:rsid w:val="00CB32D6"/>
    <w:rsid w:val="00CC6DEC"/>
    <w:rsid w:val="00D0757A"/>
    <w:rsid w:val="00D35E5D"/>
    <w:rsid w:val="00DF15A7"/>
    <w:rsid w:val="00DF7E93"/>
    <w:rsid w:val="00F11F8E"/>
    <w:rsid w:val="00F77868"/>
    <w:rsid w:val="00FE2D78"/>
    <w:rsid w:val="00FE7A5C"/>
    <w:rsid w:val="00FF31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F8680F"/>
  <w15:chartTrackingRefBased/>
  <w15:docId w15:val="{C4EE7360-00DE-45BE-98FA-D713C01CC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75EF"/>
    <w:pPr>
      <w:widowControl w:val="0"/>
      <w:jc w:val="both"/>
    </w:pPr>
    <w:rPr>
      <w:rFonts w:ascii="Century Gothic" w:eastAsia="ＭＳ 明朝" w:hAnsi="Century Gothi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59D0"/>
    <w:pPr>
      <w:tabs>
        <w:tab w:val="center" w:pos="4252"/>
        <w:tab w:val="right" w:pos="8504"/>
      </w:tabs>
      <w:snapToGrid w:val="0"/>
    </w:pPr>
  </w:style>
  <w:style w:type="character" w:customStyle="1" w:styleId="a4">
    <w:name w:val="ヘッダー (文字)"/>
    <w:basedOn w:val="a0"/>
    <w:link w:val="a3"/>
    <w:uiPriority w:val="99"/>
    <w:rsid w:val="005959D0"/>
    <w:rPr>
      <w:rFonts w:ascii="Century Gothic" w:eastAsia="ＭＳ 明朝" w:hAnsi="Century Gothic"/>
    </w:rPr>
  </w:style>
  <w:style w:type="paragraph" w:styleId="a5">
    <w:name w:val="footer"/>
    <w:basedOn w:val="a"/>
    <w:link w:val="a6"/>
    <w:uiPriority w:val="99"/>
    <w:unhideWhenUsed/>
    <w:rsid w:val="005959D0"/>
    <w:pPr>
      <w:tabs>
        <w:tab w:val="center" w:pos="4252"/>
        <w:tab w:val="right" w:pos="8504"/>
      </w:tabs>
      <w:snapToGrid w:val="0"/>
    </w:pPr>
  </w:style>
  <w:style w:type="character" w:customStyle="1" w:styleId="a6">
    <w:name w:val="フッター (文字)"/>
    <w:basedOn w:val="a0"/>
    <w:link w:val="a5"/>
    <w:uiPriority w:val="99"/>
    <w:rsid w:val="005959D0"/>
    <w:rPr>
      <w:rFonts w:ascii="Century Gothic" w:eastAsia="ＭＳ 明朝" w:hAnsi="Century Gothic"/>
    </w:rPr>
  </w:style>
  <w:style w:type="character" w:styleId="a7">
    <w:name w:val="Hyperlink"/>
    <w:basedOn w:val="a0"/>
    <w:uiPriority w:val="99"/>
    <w:unhideWhenUsed/>
    <w:rsid w:val="00C5088A"/>
    <w:rPr>
      <w:color w:val="0563C1" w:themeColor="hyperlink"/>
      <w:u w:val="single"/>
    </w:rPr>
  </w:style>
  <w:style w:type="character" w:styleId="a8">
    <w:name w:val="Unresolved Mention"/>
    <w:basedOn w:val="a0"/>
    <w:uiPriority w:val="99"/>
    <w:semiHidden/>
    <w:unhideWhenUsed/>
    <w:rsid w:val="00C5088A"/>
    <w:rPr>
      <w:color w:val="605E5C"/>
      <w:shd w:val="clear" w:color="auto" w:fill="E1DFDD"/>
    </w:rPr>
  </w:style>
  <w:style w:type="paragraph" w:styleId="a9">
    <w:name w:val="Body Text"/>
    <w:basedOn w:val="a"/>
    <w:link w:val="aa"/>
    <w:uiPriority w:val="1"/>
    <w:qFormat/>
    <w:rsid w:val="00CB32D6"/>
    <w:pPr>
      <w:autoSpaceDE w:val="0"/>
      <w:autoSpaceDN w:val="0"/>
      <w:jc w:val="left"/>
    </w:pPr>
    <w:rPr>
      <w:rFonts w:cs="ＭＳ 明朝"/>
      <w:kern w:val="0"/>
      <w:szCs w:val="21"/>
      <w:lang w:eastAsia="en-US"/>
    </w:rPr>
  </w:style>
  <w:style w:type="character" w:customStyle="1" w:styleId="aa">
    <w:name w:val="本文 (文字)"/>
    <w:basedOn w:val="a0"/>
    <w:link w:val="a9"/>
    <w:uiPriority w:val="1"/>
    <w:rsid w:val="00CB32D6"/>
    <w:rPr>
      <w:rFonts w:ascii="Century Gothic" w:eastAsia="ＭＳ 明朝" w:hAnsi="Century Gothic" w:cs="ＭＳ 明朝"/>
      <w:kern w:val="0"/>
      <w:szCs w:val="21"/>
      <w:lang w:eastAsia="en-US"/>
    </w:rPr>
  </w:style>
  <w:style w:type="table" w:customStyle="1" w:styleId="TableNormal">
    <w:name w:val="Table Normal"/>
    <w:uiPriority w:val="2"/>
    <w:semiHidden/>
    <w:unhideWhenUsed/>
    <w:qFormat/>
    <w:rsid w:val="00CB32D6"/>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B32D6"/>
    <w:pPr>
      <w:autoSpaceDE w:val="0"/>
      <w:autoSpaceDN w:val="0"/>
      <w:jc w:val="left"/>
    </w:pPr>
    <w:rPr>
      <w:rFonts w:ascii="ＭＳ 明朝" w:hAnsi="ＭＳ 明朝" w:cs="ＭＳ 明朝"/>
      <w:kern w:val="0"/>
      <w:sz w:val="22"/>
      <w:lang w:eastAsia="en-US"/>
    </w:rPr>
  </w:style>
  <w:style w:type="table" w:styleId="ab">
    <w:name w:val="Table Grid"/>
    <w:basedOn w:val="a1"/>
    <w:uiPriority w:val="59"/>
    <w:rsid w:val="00CB32D6"/>
    <w:rPr>
      <w:rFonts w:ascii="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2C75EF"/>
    <w:pPr>
      <w:widowControl w:val="0"/>
      <w:jc w:val="both"/>
    </w:pPr>
    <w:rPr>
      <w:rFonts w:ascii="Century Gothic" w:eastAsia="ＭＳ 明朝" w:hAnsi="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youmujissenn.com/menkyo/wp/wp-content/uploads/2022/04/23_09_28_%E7%89%B9%E5%AE%9A%E5%88%86%E9%87%8E%E3%81%AB%E5%BC%B7%E3%81%BF%E3%82%84%E5%B0%82%E9%96%80%E6%80%A7%E3%82%92%E6%8C%81%E3%81%A4%E5%AD%A6%E7%A7%91%E7%AD%89%E3%81%AB%E4%BF%82%E3%82%8B%E7%89%B9%E4%BE%8B%E7%AD%89%E3%81%AB%E4%BF%82%E3%82%8B%E6%95%99%E8%81%B7%E8%AA%B2%E7%A8%8B%E8%AA%8D%E5%AE%9A%E5%9F%BA%E6%BA%96%E7%AD%89%E3%81%AE%E6%94%B9%E6%AD%A3%E7%AD%89%E3%81%AB%E3%81%A4%E3%81%84%E3%81%A6.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315</Words>
  <Characters>1796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 勝士</dc:creator>
  <cp:keywords/>
  <dc:description/>
  <cp:lastModifiedBy>小野 勝士</cp:lastModifiedBy>
  <cp:revision>3</cp:revision>
  <cp:lastPrinted>2023-12-23T21:27:00Z</cp:lastPrinted>
  <dcterms:created xsi:type="dcterms:W3CDTF">2023-12-23T21:53:00Z</dcterms:created>
  <dcterms:modified xsi:type="dcterms:W3CDTF">2023-12-23T21:54:00Z</dcterms:modified>
</cp:coreProperties>
</file>