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49B336F0" w:rsidR="004C5204" w:rsidRPr="00E67BA1" w:rsidRDefault="00E67BA1" w:rsidP="00E67BA1">
      <w:pPr>
        <w:jc w:val="center"/>
        <w:rPr>
          <w:rFonts w:ascii="ＭＳ ゴシック" w:eastAsia="ＭＳ ゴシック" w:hAnsi="ＭＳ ゴシック"/>
          <w:sz w:val="28"/>
          <w:szCs w:val="28"/>
        </w:rPr>
      </w:pPr>
      <w:r w:rsidRPr="00E67BA1">
        <w:rPr>
          <w:rFonts w:ascii="ＭＳ ゴシック" w:eastAsia="ＭＳ ゴシック" w:hAnsi="ＭＳ ゴシック" w:hint="eastAsia"/>
          <w:sz w:val="28"/>
          <w:szCs w:val="28"/>
        </w:rPr>
        <w:t>基準４－７</w:t>
      </w:r>
    </w:p>
    <w:p w14:paraId="3CB43506" w14:textId="77777777" w:rsidR="00E67BA1" w:rsidRDefault="00E67BA1"/>
    <w:tbl>
      <w:tblPr>
        <w:tblStyle w:val="a9"/>
        <w:tblW w:w="0" w:type="auto"/>
        <w:tblInd w:w="108" w:type="dxa"/>
        <w:tblLook w:val="04A0" w:firstRow="1" w:lastRow="0" w:firstColumn="1" w:lastColumn="0" w:noHBand="0" w:noVBand="1"/>
      </w:tblPr>
      <w:tblGrid>
        <w:gridCol w:w="8932"/>
      </w:tblGrid>
      <w:tr w:rsidR="00F878E0" w14:paraId="4546F49F" w14:textId="77777777" w:rsidTr="00132CCE">
        <w:tc>
          <w:tcPr>
            <w:tcW w:w="9072" w:type="dxa"/>
            <w:tcBorders>
              <w:top w:val="single" w:sz="12" w:space="0" w:color="auto"/>
              <w:left w:val="single" w:sz="12" w:space="0" w:color="auto"/>
              <w:bottom w:val="single" w:sz="12" w:space="0" w:color="auto"/>
              <w:right w:val="single" w:sz="12" w:space="0" w:color="auto"/>
            </w:tcBorders>
          </w:tcPr>
          <w:p w14:paraId="019D763E" w14:textId="77777777" w:rsidR="00F878E0" w:rsidRPr="00F86A5D" w:rsidRDefault="00F878E0" w:rsidP="00132CCE">
            <w:pPr>
              <w:pStyle w:val="a7"/>
              <w:rPr>
                <w:rFonts w:ascii="ＭＳ ゴシック" w:eastAsia="ＭＳ ゴシック" w:hAnsi="ＭＳ ゴシック"/>
                <w:b/>
                <w:u w:val="thick"/>
                <w:lang w:eastAsia="ja-JP"/>
              </w:rPr>
            </w:pPr>
            <w:r w:rsidRPr="00F86A5D">
              <w:rPr>
                <w:rFonts w:ascii="ＭＳ ゴシック" w:eastAsia="ＭＳ ゴシック" w:hAnsi="ＭＳ ゴシック" w:hint="eastAsia"/>
                <w:b/>
                <w:u w:val="thick"/>
                <w:lang w:eastAsia="ja-JP"/>
              </w:rPr>
              <w:t>４－７　栄養教諭の教職課程の場合</w:t>
            </w:r>
          </w:p>
          <w:p w14:paraId="10CDE13F" w14:textId="77777777" w:rsidR="00F878E0" w:rsidRPr="00AB1B79" w:rsidRDefault="00F878E0" w:rsidP="00132CCE">
            <w:pPr>
              <w:pStyle w:val="a7"/>
              <w:ind w:leftChars="1" w:left="424" w:hangingChars="201" w:hanging="422"/>
              <w:rPr>
                <w:lang w:eastAsia="ja-JP"/>
              </w:rPr>
            </w:pPr>
            <w:r>
              <w:rPr>
                <w:rFonts w:hint="eastAsia"/>
                <w:lang w:eastAsia="ja-JP"/>
              </w:rPr>
              <w:t>（１）栄養に係る教育に関する科目に開設する授業科目は、施行規則第</w:t>
            </w:r>
            <w:r w:rsidRPr="002E0C78">
              <w:rPr>
                <w:rFonts w:ascii="ＭＳ 明朝" w:hAnsi="ＭＳ 明朝" w:hint="eastAsia"/>
                <w:lang w:eastAsia="ja-JP"/>
              </w:rPr>
              <w:t>1</w:t>
            </w:r>
            <w:r w:rsidRPr="002E0C78">
              <w:rPr>
                <w:rFonts w:ascii="ＭＳ 明朝" w:hAnsi="ＭＳ 明朝"/>
                <w:lang w:eastAsia="ja-JP"/>
              </w:rPr>
              <w:t>0</w:t>
            </w:r>
            <w:r>
              <w:rPr>
                <w:rFonts w:hint="eastAsia"/>
                <w:lang w:eastAsia="ja-JP"/>
              </w:rPr>
              <w:t>条表備考第１号に規定する事項（栄養教諭の役割及び職務内容に関する事項など）が含まれなければならない。</w:t>
            </w:r>
          </w:p>
        </w:tc>
      </w:tr>
    </w:tbl>
    <w:p w14:paraId="4E2348B9" w14:textId="77777777" w:rsidR="00F878E0" w:rsidRDefault="00F878E0" w:rsidP="00F878E0">
      <w:pPr>
        <w:pStyle w:val="a7"/>
        <w:rPr>
          <w:lang w:eastAsia="ja-JP"/>
        </w:rPr>
      </w:pPr>
    </w:p>
    <w:p w14:paraId="3AA9B1FB" w14:textId="77777777" w:rsidR="00F878E0" w:rsidRDefault="00F878E0" w:rsidP="00F878E0">
      <w:pPr>
        <w:pStyle w:val="a7"/>
        <w:rPr>
          <w:lang w:eastAsia="ja-JP"/>
        </w:rPr>
      </w:pPr>
      <w:r>
        <w:rPr>
          <w:rFonts w:hint="eastAsia"/>
          <w:lang w:eastAsia="ja-JP"/>
        </w:rPr>
        <w:t xml:space="preserve">　免許法施行規則第</w:t>
      </w:r>
      <w:r>
        <w:rPr>
          <w:rFonts w:hint="eastAsia"/>
          <w:lang w:eastAsia="ja-JP"/>
        </w:rPr>
        <w:t>1</w:t>
      </w:r>
      <w:r>
        <w:rPr>
          <w:lang w:eastAsia="ja-JP"/>
        </w:rPr>
        <w:t>0</w:t>
      </w:r>
      <w:r>
        <w:rPr>
          <w:rFonts w:hint="eastAsia"/>
          <w:lang w:eastAsia="ja-JP"/>
        </w:rPr>
        <w:t>条表備考第</w:t>
      </w:r>
      <w:r>
        <w:rPr>
          <w:rFonts w:hint="eastAsia"/>
          <w:lang w:eastAsia="ja-JP"/>
        </w:rPr>
        <w:t>1</w:t>
      </w:r>
      <w:r>
        <w:rPr>
          <w:rFonts w:hint="eastAsia"/>
          <w:lang w:eastAsia="ja-JP"/>
        </w:rPr>
        <w:t>号に次のとおり規定されています。</w:t>
      </w:r>
    </w:p>
    <w:p w14:paraId="1B1DBCAF" w14:textId="77777777" w:rsidR="00F878E0" w:rsidRDefault="00F878E0" w:rsidP="00F878E0">
      <w:pPr>
        <w:pStyle w:val="a7"/>
        <w:rPr>
          <w:lang w:eastAsia="ja-JP"/>
        </w:rPr>
      </w:pPr>
    </w:p>
    <w:p w14:paraId="5EDC3886" w14:textId="76645B5E" w:rsidR="00F878E0" w:rsidRDefault="00F878E0" w:rsidP="00F878E0">
      <w:pPr>
        <w:ind w:firstLineChars="100" w:firstLine="210"/>
      </w:pPr>
      <w:r>
        <w:rPr>
          <w:rFonts w:hint="eastAsia"/>
        </w:rPr>
        <w:t>栄養に係る教育に関する科目の単位の修得方法は、栄養教諭の役割及び職務内容に関する事項、幼児、児童及び生徒の栄養に係る課題に関する事項、食生活に関する歴史的及び文化的事項並びに食に関する指導の方法に関する事項を含む科目について、専修免許状又は一種免許状の授与を受ける場合にあつては</w:t>
      </w:r>
      <w:r w:rsidR="00E67BA1">
        <w:rPr>
          <w:rFonts w:hint="eastAsia"/>
        </w:rPr>
        <w:t>4</w:t>
      </w:r>
      <w:r>
        <w:rPr>
          <w:rFonts w:hint="eastAsia"/>
        </w:rPr>
        <w:t>単位以上を、二種免許状の授与を受ける場合にあつては</w:t>
      </w:r>
      <w:r w:rsidR="00E67BA1">
        <w:rPr>
          <w:rFonts w:hint="eastAsia"/>
        </w:rPr>
        <w:t>2</w:t>
      </w:r>
      <w:r>
        <w:rPr>
          <w:rFonts w:hint="eastAsia"/>
        </w:rPr>
        <w:t>単位以上を修得するものとする。</w:t>
      </w:r>
    </w:p>
    <w:p w14:paraId="41715A4D" w14:textId="77777777" w:rsidR="00F878E0" w:rsidRDefault="00F878E0" w:rsidP="00F878E0">
      <w:pPr>
        <w:ind w:firstLineChars="100" w:firstLine="210"/>
      </w:pPr>
    </w:p>
    <w:p w14:paraId="34A20BD9" w14:textId="01547559" w:rsidR="00F878E0" w:rsidRDefault="00F878E0" w:rsidP="00F878E0">
      <w:pPr>
        <w:ind w:firstLineChars="100" w:firstLine="210"/>
      </w:pPr>
      <w:r>
        <w:rPr>
          <w:rFonts w:hint="eastAsia"/>
        </w:rPr>
        <w:t>含むべき事項は「栄養教諭の役割及び職務内容に関する事項」「幼児、児童及び生徒の栄養に係る課題に関する事項」「食生活に関する歴史的及び文化的事項並びに食に関する指導の方法に関する事項」の</w:t>
      </w:r>
      <w:r w:rsidR="00E67BA1">
        <w:rPr>
          <w:rFonts w:hint="eastAsia"/>
        </w:rPr>
        <w:t>3</w:t>
      </w:r>
      <w:r>
        <w:rPr>
          <w:rFonts w:hint="eastAsia"/>
        </w:rPr>
        <w:t>つあり、設置しようとする免許種に応じて</w:t>
      </w:r>
      <w:r w:rsidR="00E67BA1">
        <w:rPr>
          <w:rFonts w:hint="eastAsia"/>
        </w:rPr>
        <w:t>4</w:t>
      </w:r>
      <w:r>
        <w:rPr>
          <w:rFonts w:hint="eastAsia"/>
        </w:rPr>
        <w:t>単位、</w:t>
      </w:r>
      <w:r w:rsidR="00E67BA1">
        <w:rPr>
          <w:rFonts w:hint="eastAsia"/>
        </w:rPr>
        <w:t>2</w:t>
      </w:r>
      <w:r>
        <w:rPr>
          <w:rFonts w:hint="eastAsia"/>
        </w:rPr>
        <w:t>単位必要ということです。</w:t>
      </w:r>
    </w:p>
    <w:p w14:paraId="47AD4F6F" w14:textId="77777777" w:rsidR="00F878E0" w:rsidRPr="00A369CA" w:rsidRDefault="00F878E0" w:rsidP="00F878E0">
      <w:pPr>
        <w:ind w:firstLineChars="100" w:firstLine="210"/>
      </w:pPr>
    </w:p>
    <w:tbl>
      <w:tblPr>
        <w:tblStyle w:val="a9"/>
        <w:tblW w:w="0" w:type="auto"/>
        <w:tblInd w:w="108" w:type="dxa"/>
        <w:tblLook w:val="04A0" w:firstRow="1" w:lastRow="0" w:firstColumn="1" w:lastColumn="0" w:noHBand="0" w:noVBand="1"/>
      </w:tblPr>
      <w:tblGrid>
        <w:gridCol w:w="8932"/>
      </w:tblGrid>
      <w:tr w:rsidR="00F878E0" w14:paraId="022C7DB3" w14:textId="77777777" w:rsidTr="00132CCE">
        <w:tc>
          <w:tcPr>
            <w:tcW w:w="9639" w:type="dxa"/>
            <w:tcBorders>
              <w:top w:val="single" w:sz="12" w:space="0" w:color="auto"/>
              <w:left w:val="single" w:sz="12" w:space="0" w:color="auto"/>
              <w:bottom w:val="single" w:sz="12" w:space="0" w:color="auto"/>
              <w:right w:val="single" w:sz="12" w:space="0" w:color="auto"/>
            </w:tcBorders>
          </w:tcPr>
          <w:p w14:paraId="5ECD39BA" w14:textId="77777777" w:rsidR="00F878E0" w:rsidRPr="00AB1B79" w:rsidRDefault="00F878E0" w:rsidP="00132CCE">
            <w:pPr>
              <w:pStyle w:val="a7"/>
              <w:ind w:leftChars="1" w:left="424" w:hangingChars="201" w:hanging="422"/>
              <w:rPr>
                <w:lang w:eastAsia="ja-JP"/>
              </w:rPr>
            </w:pPr>
            <w:r>
              <w:rPr>
                <w:rFonts w:hint="eastAsia"/>
                <w:lang w:eastAsia="ja-JP"/>
              </w:rPr>
              <w:t>（２）「教育の基礎的理解に関する科目等」に開設する授業科目は、施行規則第</w:t>
            </w:r>
            <w:r w:rsidRPr="00027D0F">
              <w:rPr>
                <w:rFonts w:ascii="ＭＳ 明朝" w:hAnsi="ＭＳ 明朝" w:hint="eastAsia"/>
                <w:lang w:eastAsia="ja-JP"/>
              </w:rPr>
              <w:t>1</w:t>
            </w:r>
            <w:r w:rsidRPr="00027D0F">
              <w:rPr>
                <w:rFonts w:ascii="ＭＳ 明朝" w:hAnsi="ＭＳ 明朝"/>
                <w:lang w:eastAsia="ja-JP"/>
              </w:rPr>
              <w:t>0</w:t>
            </w:r>
            <w:r>
              <w:rPr>
                <w:rFonts w:hint="eastAsia"/>
                <w:lang w:eastAsia="ja-JP"/>
              </w:rPr>
              <w:t>条表に規定する科目（教育の基礎的理解に関する科目など）ごとに開設されなければならない。なお、道徳、総合的な学習の時間等の内容及び生徒指導、教育相談等に関する科目に「教育課程の意義及び編成の方法」を含む場合にあっては、教育の基礎的理解に関する科目に「教育課程の意義及び編成の方法」を含むことを要しない。</w:t>
            </w:r>
          </w:p>
        </w:tc>
      </w:tr>
    </w:tbl>
    <w:p w14:paraId="7FDEE96E" w14:textId="77777777" w:rsidR="00F878E0" w:rsidRDefault="00F878E0" w:rsidP="00F878E0">
      <w:pPr>
        <w:pStyle w:val="a7"/>
        <w:ind w:leftChars="1" w:left="424" w:hangingChars="201" w:hanging="422"/>
        <w:rPr>
          <w:lang w:eastAsia="ja-JP"/>
        </w:rPr>
      </w:pPr>
    </w:p>
    <w:p w14:paraId="25AE2404" w14:textId="5EDC4F3A" w:rsidR="00F878E0" w:rsidRDefault="00F878E0" w:rsidP="00F878E0">
      <w:pPr>
        <w:pStyle w:val="a7"/>
        <w:ind w:left="424" w:hangingChars="202" w:hanging="424"/>
        <w:rPr>
          <w:lang w:eastAsia="ja-JP"/>
        </w:rPr>
      </w:pPr>
      <w:r>
        <w:rPr>
          <w:rFonts w:hint="eastAsia"/>
          <w:lang w:eastAsia="ja-JP"/>
        </w:rPr>
        <w:t>◆</w:t>
      </w:r>
      <w:hyperlink r:id="rId6" w:history="1">
        <w:r w:rsidR="008818C6" w:rsidRPr="00B51AB0">
          <w:rPr>
            <w:rStyle w:val="aa"/>
            <w:rFonts w:hint="eastAsia"/>
            <w:lang w:eastAsia="ja-JP"/>
          </w:rPr>
          <w:t>再課程認定質問回答集</w:t>
        </w:r>
      </w:hyperlink>
      <w:r>
        <w:rPr>
          <w:rFonts w:hint="eastAsia"/>
          <w:lang w:eastAsia="ja-JP"/>
        </w:rPr>
        <w:t>（</w:t>
      </w:r>
      <w:r w:rsidRPr="00E67BA1">
        <w:rPr>
          <w:lang w:eastAsia="ja-JP"/>
        </w:rPr>
        <w:t>No.81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F878E0" w14:paraId="0D796E56" w14:textId="77777777" w:rsidTr="00132CCE">
        <w:tc>
          <w:tcPr>
            <w:tcW w:w="8930" w:type="dxa"/>
            <w:tcBorders>
              <w:top w:val="dashed" w:sz="4" w:space="0" w:color="auto"/>
              <w:left w:val="dashed" w:sz="4" w:space="0" w:color="auto"/>
              <w:bottom w:val="dashed" w:sz="4" w:space="0" w:color="auto"/>
              <w:right w:val="dashed" w:sz="4" w:space="0" w:color="auto"/>
            </w:tcBorders>
          </w:tcPr>
          <w:p w14:paraId="24A86C05" w14:textId="77777777" w:rsidR="00F878E0" w:rsidRDefault="00F878E0" w:rsidP="00132CCE">
            <w:pPr>
              <w:pStyle w:val="a7"/>
              <w:ind w:leftChars="1" w:left="170" w:hangingChars="80" w:hanging="168"/>
              <w:rPr>
                <w:lang w:eastAsia="ja-JP"/>
              </w:rPr>
            </w:pPr>
            <w:r>
              <w:rPr>
                <w:rFonts w:hint="eastAsia"/>
                <w:lang w:eastAsia="ja-JP"/>
              </w:rPr>
              <w:t xml:space="preserve">Ｑ　</w:t>
            </w:r>
            <w:r w:rsidRPr="00786A90">
              <w:rPr>
                <w:rFonts w:hint="eastAsia"/>
                <w:lang w:eastAsia="ja-JP"/>
              </w:rPr>
              <w:t>教育の基礎的理解に関する科目「教育課程の意義及び編成の方法（カリキュラム・マネジメントを含む。）」と、道徳、総合的な学習の時間等の指導法及び生徒指導、教育相談等に関する科目「教育の方法及び技術（情報機器及び教材の活用を含む。）」をまとめて一つの科目として開設してよいか。</w:t>
            </w:r>
          </w:p>
          <w:p w14:paraId="6C44C8FD" w14:textId="77777777" w:rsidR="00F878E0" w:rsidRDefault="00F878E0" w:rsidP="00132CCE">
            <w:pPr>
              <w:pStyle w:val="a7"/>
              <w:ind w:leftChars="1" w:left="170" w:hangingChars="80" w:hanging="168"/>
              <w:rPr>
                <w:lang w:eastAsia="ja-JP"/>
              </w:rPr>
            </w:pPr>
          </w:p>
          <w:p w14:paraId="25DF9590" w14:textId="77777777" w:rsidR="00F878E0" w:rsidRDefault="00F878E0" w:rsidP="00132CCE">
            <w:pPr>
              <w:pStyle w:val="a7"/>
              <w:ind w:leftChars="1" w:left="170" w:hangingChars="80" w:hanging="168"/>
              <w:rPr>
                <w:lang w:eastAsia="ja-JP"/>
              </w:rPr>
            </w:pPr>
            <w:r>
              <w:rPr>
                <w:rFonts w:hint="eastAsia"/>
                <w:lang w:eastAsia="ja-JP"/>
              </w:rPr>
              <w:t xml:space="preserve">Ａ　</w:t>
            </w:r>
            <w:r w:rsidRPr="00786A90">
              <w:rPr>
                <w:rFonts w:hint="eastAsia"/>
                <w:lang w:eastAsia="ja-JP"/>
              </w:rPr>
              <w:t>一つの科目として開設できる。ただし、その場合には「道徳、総合的な学習の時間及び特別活動の指導法」の区分に「教育課程の意義及び編成」を含める形で開設することが必要。（施行規則上、「教育の方法及び技術」を「</w:t>
            </w:r>
            <w:r>
              <w:rPr>
                <w:rFonts w:hint="eastAsia"/>
                <w:lang w:eastAsia="ja-JP"/>
              </w:rPr>
              <w:t>教育</w:t>
            </w:r>
            <w:r w:rsidRPr="00786A90">
              <w:rPr>
                <w:rFonts w:hint="eastAsia"/>
                <w:lang w:eastAsia="ja-JP"/>
              </w:rPr>
              <w:t>の基礎的理解に関する科目」として開設することはできないため。）</w:t>
            </w:r>
          </w:p>
        </w:tc>
      </w:tr>
    </w:tbl>
    <w:p w14:paraId="068A957D" w14:textId="77777777" w:rsidR="00F878E0" w:rsidRDefault="00F878E0" w:rsidP="00F878E0">
      <w:pPr>
        <w:pStyle w:val="a7"/>
        <w:ind w:leftChars="68" w:left="284" w:hangingChars="67" w:hanging="141"/>
        <w:rPr>
          <w:lang w:eastAsia="ja-JP"/>
        </w:rPr>
      </w:pPr>
      <w:r>
        <w:rPr>
          <w:rFonts w:hint="eastAsia"/>
          <w:lang w:eastAsia="ja-JP"/>
        </w:rPr>
        <w:t>※本質問は養護教諭・栄養教諭を念頭においたものではないため「</w:t>
      </w:r>
      <w:r w:rsidRPr="00786A90">
        <w:rPr>
          <w:rFonts w:hint="eastAsia"/>
          <w:lang w:eastAsia="ja-JP"/>
        </w:rPr>
        <w:t>道徳、総合的な学習の時間等の指導法</w:t>
      </w:r>
      <w:r>
        <w:rPr>
          <w:rFonts w:hint="eastAsia"/>
          <w:lang w:eastAsia="ja-JP"/>
        </w:rPr>
        <w:t>」という記載ですが、養護教諭・栄養教諭の場合は「道徳、総合的な学習の時間</w:t>
      </w:r>
      <w:r>
        <w:rPr>
          <w:rFonts w:hint="eastAsia"/>
          <w:lang w:eastAsia="ja-JP"/>
        </w:rPr>
        <w:lastRenderedPageBreak/>
        <w:t>等の内容」となります。</w:t>
      </w:r>
    </w:p>
    <w:p w14:paraId="3DF7468D" w14:textId="77777777" w:rsidR="00F878E0" w:rsidRPr="00251514" w:rsidRDefault="00F878E0" w:rsidP="001B01DD">
      <w:pPr>
        <w:pStyle w:val="a7"/>
        <w:rPr>
          <w:rFonts w:hint="eastAsia"/>
          <w:lang w:eastAsia="ja-JP"/>
        </w:rPr>
      </w:pPr>
    </w:p>
    <w:tbl>
      <w:tblPr>
        <w:tblStyle w:val="a9"/>
        <w:tblW w:w="0" w:type="auto"/>
        <w:tblInd w:w="108" w:type="dxa"/>
        <w:tblLook w:val="04A0" w:firstRow="1" w:lastRow="0" w:firstColumn="1" w:lastColumn="0" w:noHBand="0" w:noVBand="1"/>
      </w:tblPr>
      <w:tblGrid>
        <w:gridCol w:w="8932"/>
      </w:tblGrid>
      <w:tr w:rsidR="00F878E0" w14:paraId="7091A716" w14:textId="77777777" w:rsidTr="00132CCE">
        <w:tc>
          <w:tcPr>
            <w:tcW w:w="9072" w:type="dxa"/>
            <w:tcBorders>
              <w:top w:val="single" w:sz="12" w:space="0" w:color="auto"/>
              <w:left w:val="single" w:sz="12" w:space="0" w:color="auto"/>
              <w:bottom w:val="single" w:sz="12" w:space="0" w:color="auto"/>
              <w:right w:val="single" w:sz="12" w:space="0" w:color="auto"/>
            </w:tcBorders>
          </w:tcPr>
          <w:p w14:paraId="525A62EB" w14:textId="6C6FF364" w:rsidR="00F878E0" w:rsidRPr="00AB1B79" w:rsidRDefault="00F878E0" w:rsidP="00132CCE">
            <w:pPr>
              <w:pStyle w:val="a7"/>
              <w:ind w:leftChars="1" w:left="424" w:hangingChars="201" w:hanging="422"/>
              <w:rPr>
                <w:lang w:eastAsia="ja-JP"/>
              </w:rPr>
            </w:pPr>
            <w:r>
              <w:rPr>
                <w:rFonts w:hint="eastAsia"/>
                <w:lang w:eastAsia="ja-JP"/>
              </w:rPr>
              <w:t>（３）栄養教諭の「教育の基礎的理解に関する科目等」に配置する必要</w:t>
            </w:r>
            <w:r w:rsidR="008517C0">
              <w:rPr>
                <w:rFonts w:hint="eastAsia"/>
                <w:lang w:eastAsia="ja-JP"/>
              </w:rPr>
              <w:t>教職</w:t>
            </w:r>
            <w:r>
              <w:rPr>
                <w:rFonts w:hint="eastAsia"/>
                <w:lang w:eastAsia="ja-JP"/>
              </w:rPr>
              <w:t>専任教員数は、４－</w:t>
            </w:r>
            <w:r w:rsidR="00D82AB2">
              <w:rPr>
                <w:rFonts w:hint="eastAsia"/>
                <w:lang w:eastAsia="ja-JP"/>
              </w:rPr>
              <w:t>６</w:t>
            </w:r>
            <w:r>
              <w:rPr>
                <w:rFonts w:hint="eastAsia"/>
                <w:lang w:eastAsia="ja-JP"/>
              </w:rPr>
              <w:t>（</w:t>
            </w:r>
            <w:r w:rsidR="00D82AB2">
              <w:rPr>
                <w:rFonts w:hint="eastAsia"/>
                <w:lang w:eastAsia="ja-JP"/>
              </w:rPr>
              <w:t>３</w:t>
            </w:r>
            <w:r>
              <w:rPr>
                <w:rFonts w:hint="eastAsia"/>
                <w:lang w:eastAsia="ja-JP"/>
              </w:rPr>
              <w:t>）ⅱ）に定めるとおりとする。</w:t>
            </w:r>
          </w:p>
        </w:tc>
      </w:tr>
    </w:tbl>
    <w:p w14:paraId="1EC3EF68" w14:textId="77777777" w:rsidR="00F878E0" w:rsidRDefault="00F878E0" w:rsidP="00F878E0">
      <w:pPr>
        <w:pStyle w:val="a7"/>
        <w:rPr>
          <w:lang w:eastAsia="ja-JP"/>
        </w:rPr>
      </w:pPr>
    </w:p>
    <w:p w14:paraId="5DC4185C" w14:textId="175E8457" w:rsidR="00F878E0" w:rsidRDefault="00F878E0" w:rsidP="00F878E0">
      <w:pPr>
        <w:pStyle w:val="a7"/>
        <w:ind w:firstLineChars="100" w:firstLine="210"/>
        <w:rPr>
          <w:lang w:eastAsia="ja-JP"/>
        </w:rPr>
      </w:pPr>
      <w:r>
        <w:rPr>
          <w:rFonts w:hint="eastAsia"/>
          <w:lang w:eastAsia="ja-JP"/>
        </w:rPr>
        <w:t>「教育の基礎的理解に関する科目等」の</w:t>
      </w:r>
      <w:r w:rsidR="008517C0">
        <w:rPr>
          <w:rFonts w:hint="eastAsia"/>
          <w:lang w:eastAsia="ja-JP"/>
        </w:rPr>
        <w:t>教職</w:t>
      </w:r>
      <w:r>
        <w:rPr>
          <w:rFonts w:hint="eastAsia"/>
          <w:lang w:eastAsia="ja-JP"/>
        </w:rPr>
        <w:t>専任教員数については中高と同じ基準です。</w:t>
      </w:r>
    </w:p>
    <w:p w14:paraId="46E76860" w14:textId="77777777" w:rsidR="00F878E0" w:rsidRDefault="00F878E0" w:rsidP="00F878E0">
      <w:pPr>
        <w:pStyle w:val="a7"/>
        <w:rPr>
          <w:lang w:eastAsia="ja-JP"/>
        </w:rPr>
      </w:pPr>
    </w:p>
    <w:p w14:paraId="369BF461" w14:textId="77777777" w:rsidR="00F878E0" w:rsidRPr="00467078" w:rsidRDefault="00F878E0" w:rsidP="00F878E0">
      <w:pPr>
        <w:widowControl/>
        <w:jc w:val="left"/>
        <w:rPr>
          <w:rFonts w:cs="ＭＳ 明朝"/>
          <w:kern w:val="0"/>
          <w:szCs w:val="21"/>
        </w:rPr>
      </w:pPr>
    </w:p>
    <w:p w14:paraId="1D6332B8" w14:textId="77777777" w:rsidR="00F878E0" w:rsidRPr="00F878E0" w:rsidRDefault="00F878E0"/>
    <w:sectPr w:rsidR="00F878E0" w:rsidRPr="00F878E0" w:rsidSect="00E67BA1">
      <w:footerReference w:type="default" r:id="rId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AA33" w14:textId="77777777" w:rsidR="0010360C" w:rsidRDefault="0010360C" w:rsidP="008C6E40">
      <w:r>
        <w:separator/>
      </w:r>
    </w:p>
  </w:endnote>
  <w:endnote w:type="continuationSeparator" w:id="0">
    <w:p w14:paraId="0D6A1322" w14:textId="77777777" w:rsidR="0010360C" w:rsidRDefault="0010360C"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33797"/>
      <w:docPartObj>
        <w:docPartGallery w:val="Page Numbers (Bottom of Page)"/>
        <w:docPartUnique/>
      </w:docPartObj>
    </w:sdtPr>
    <w:sdtContent>
      <w:p w14:paraId="52FF34F4" w14:textId="296902CB" w:rsidR="00E67BA1" w:rsidRDefault="00E67BA1" w:rsidP="00E67BA1">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BFB6" w14:textId="77777777" w:rsidR="0010360C" w:rsidRDefault="0010360C" w:rsidP="008C6E40">
      <w:r>
        <w:separator/>
      </w:r>
    </w:p>
  </w:footnote>
  <w:footnote w:type="continuationSeparator" w:id="0">
    <w:p w14:paraId="2D4570B8" w14:textId="77777777" w:rsidR="0010360C" w:rsidRDefault="0010360C"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10360C"/>
    <w:rsid w:val="00194342"/>
    <w:rsid w:val="001B01DD"/>
    <w:rsid w:val="004065A8"/>
    <w:rsid w:val="004C5204"/>
    <w:rsid w:val="005A7222"/>
    <w:rsid w:val="005E786D"/>
    <w:rsid w:val="007724FB"/>
    <w:rsid w:val="008517C0"/>
    <w:rsid w:val="008818C6"/>
    <w:rsid w:val="008C6E40"/>
    <w:rsid w:val="00914907"/>
    <w:rsid w:val="00AE292C"/>
    <w:rsid w:val="00AF695E"/>
    <w:rsid w:val="00C0002B"/>
    <w:rsid w:val="00C05969"/>
    <w:rsid w:val="00CC045B"/>
    <w:rsid w:val="00D72E4B"/>
    <w:rsid w:val="00D82AB2"/>
    <w:rsid w:val="00DE7692"/>
    <w:rsid w:val="00E67BA1"/>
    <w:rsid w:val="00F878E0"/>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F878E0"/>
    <w:pPr>
      <w:autoSpaceDE w:val="0"/>
      <w:autoSpaceDN w:val="0"/>
      <w:jc w:val="left"/>
    </w:pPr>
    <w:rPr>
      <w:rFonts w:cs="ＭＳ 明朝"/>
      <w:kern w:val="0"/>
      <w:szCs w:val="21"/>
      <w:lang w:eastAsia="en-US"/>
    </w:rPr>
  </w:style>
  <w:style w:type="character" w:customStyle="1" w:styleId="a8">
    <w:name w:val="本文 (文字)"/>
    <w:basedOn w:val="a0"/>
    <w:link w:val="a7"/>
    <w:uiPriority w:val="1"/>
    <w:rsid w:val="00F878E0"/>
    <w:rPr>
      <w:rFonts w:ascii="Century Gothic" w:eastAsia="ＭＳ 明朝" w:hAnsi="Century Gothic" w:cs="ＭＳ 明朝"/>
      <w:kern w:val="0"/>
      <w:szCs w:val="21"/>
      <w:lang w:eastAsia="en-US"/>
    </w:rPr>
  </w:style>
  <w:style w:type="table" w:styleId="a9">
    <w:name w:val="Table Grid"/>
    <w:basedOn w:val="a1"/>
    <w:uiPriority w:val="59"/>
    <w:rsid w:val="00F878E0"/>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87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小野 勝士</cp:lastModifiedBy>
  <cp:revision>7</cp:revision>
  <dcterms:created xsi:type="dcterms:W3CDTF">2022-03-20T10:38:00Z</dcterms:created>
  <dcterms:modified xsi:type="dcterms:W3CDTF">2023-02-26T19:11:00Z</dcterms:modified>
</cp:coreProperties>
</file>